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76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1bnhth7cuur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Международная научно-практическая конференция «</w:t>
      </w:r>
      <w:r w:rsidDel="00000000" w:rsidR="00000000" w:rsidRPr="00000000">
        <w:rPr>
          <w:b w:val="1"/>
          <w:sz w:val="24"/>
          <w:szCs w:val="24"/>
          <w:rtl w:val="0"/>
        </w:rPr>
        <w:t xml:space="preserve">Наука и инновации для устойчивого развития общества и экономики</w:t>
      </w:r>
      <w:r w:rsidDel="00000000" w:rsidR="00000000" w:rsidRPr="00000000">
        <w:rPr>
          <w:sz w:val="24"/>
          <w:szCs w:val="24"/>
          <w:rtl w:val="0"/>
        </w:rPr>
        <w:t xml:space="preserve">» состоится 20 ноября 2025 года в формате видеоконференции.</w:t>
      </w:r>
    </w:p>
    <w:p w:rsidR="00000000" w:rsidDel="00000000" w:rsidP="00000000" w:rsidRDefault="00000000" w:rsidRPr="00000000" w14:paraId="00000004">
      <w:pPr>
        <w:spacing w:after="0" w:before="0" w:line="276" w:lineRule="auto"/>
        <w:ind w:left="0"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Цель конференции - объединить ученых, экспертов и представителей различных отраслей для обсуждения актуальных вопросов устойчивого развития, инноваций, экономики и общественного благополучия.</w:t>
      </w:r>
    </w:p>
    <w:p w:rsidR="00000000" w:rsidDel="00000000" w:rsidP="00000000" w:rsidRDefault="00000000" w:rsidRPr="00000000" w14:paraId="00000005">
      <w:pPr>
        <w:spacing w:after="0" w:before="0"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Конференция направлена на выявление ключевых факторов, влияющих на устойчивое развитие современной экономики и общества, а также на обмен инновационными решениями и практическим опытом, способствующими формированию устойчивых социальных, экологических и технологических систем.</w:t>
      </w:r>
    </w:p>
    <w:p w:rsidR="00000000" w:rsidDel="00000000" w:rsidP="00000000" w:rsidRDefault="00000000" w:rsidRPr="00000000" w14:paraId="00000006">
      <w:pPr>
        <w:spacing w:after="0" w:before="0"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конференции планируется обсуждение эффективных инструментов взаимодействия науки, бизнеса и государства, направленных на реализацию принципов устойчивого роста, повышение конкурентоспособности национальных экономик и укрепление научно-технического потенциала.</w:t>
      </w:r>
    </w:p>
    <w:p w:rsidR="00000000" w:rsidDel="00000000" w:rsidP="00000000" w:rsidRDefault="00000000" w:rsidRPr="00000000" w14:paraId="00000007">
      <w:pPr>
        <w:spacing w:after="0" w:before="0"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Современные глобальные процессы, включая изменение климата, цифровую трансформацию, технологические сдвиги и социально-экономические дисбалансы, формируют новые вызовы, требующие комплексного научного осмысления и междисциплинарного подхода.</w:t>
      </w:r>
    </w:p>
    <w:p w:rsidR="00000000" w:rsidDel="00000000" w:rsidP="00000000" w:rsidRDefault="00000000" w:rsidRPr="00000000" w14:paraId="00000008">
      <w:pPr>
        <w:spacing w:after="0" w:before="0"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этих условиях особую значимость приобретают инновации, научные исследования и развитие человеческого капитала как ключевые драйверы устойчивого развития. Конференция создаст пространство для обмена идеями и результатами исследований, направленных на поиск баланса между экономическим ростом, социальной справедливостью и экологической ответственностью.</w:t>
      </w:r>
    </w:p>
    <w:p w:rsidR="00000000" w:rsidDel="00000000" w:rsidP="00000000" w:rsidRDefault="00000000" w:rsidRPr="00000000" w14:paraId="00000009">
      <w:pPr>
        <w:spacing w:after="0" w:before="0"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Конференция охватывает широкий спектр научных направлений, включая: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устойчивое развитие территорий и регионов;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инновации в промышленности, энергетике и строительстве;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экономику, управление и цифровую трансформацию;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экологию, климат и зеленые технологии;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образование и науку как фактор устойчивого развития общества.</w:t>
      </w:r>
    </w:p>
    <w:p w:rsidR="00000000" w:rsidDel="00000000" w:rsidP="00000000" w:rsidRDefault="00000000" w:rsidRPr="00000000" w14:paraId="0000000F">
      <w:pPr>
        <w:spacing w:after="0" w:before="0" w:line="276" w:lineRule="auto"/>
        <w:ind w:firstLine="283.46456692913375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Организация конференции возложена на Международный Академический Консорциум при участии международных партнеров.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0" w:before="0" w:line="276" w:lineRule="auto"/>
        <w:jc w:val="both"/>
        <w:rPr/>
      </w:pPr>
      <w:bookmarkStart w:colFirst="0" w:colLast="0" w:name="_fbe2ulpozeaw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Публикация материалов конференции: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итогам конференции будет опубликована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научная монография в европейском научном издательстве Dela Press Publishing House (Ирландия)</w:t>
      </w:r>
      <w:r w:rsidDel="00000000" w:rsidR="00000000" w:rsidRPr="00000000">
        <w:rPr>
          <w:sz w:val="24"/>
          <w:szCs w:val="24"/>
          <w:rtl w:val="0"/>
        </w:rPr>
        <w:t xml:space="preserve"> под заголовком «Science and Innovation for Sustainable Development: Integrating Global Challenges, Interdisciplinary Research, and Applied Solutions» (ISBN, DOI) с последующей индексацией в БД «РИНЦ».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Монография будет размещена в международных базах данных Crossref, WorldCat (OCLC), DOAB (Directory of Open Access Books), Semantic Scholar и eLIBRARY.RU.</w:t>
      </w:r>
    </w:p>
    <w:p w:rsidR="00000000" w:rsidDel="00000000" w:rsidP="00000000" w:rsidRDefault="00000000" w:rsidRPr="00000000" w14:paraId="00000015">
      <w:pPr>
        <w:spacing w:after="0" w:before="0" w:line="276" w:lineRule="auto"/>
        <w:ind w:right="0"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Публикация в монографии осуществляется в виде глав, представляющих оригинальные научные исследования, соответствующие тематике конференции.</w:t>
        <w:br w:type="textWrapping"/>
        <w:t xml:space="preserve">Язык публикации - русский или английский (по выбору автора).</w:t>
      </w:r>
    </w:p>
    <w:p w:rsidR="00000000" w:rsidDel="00000000" w:rsidP="00000000" w:rsidRDefault="00000000" w:rsidRPr="00000000" w14:paraId="00000016">
      <w:pPr>
        <w:spacing w:after="0" w:before="0" w:line="276" w:lineRule="auto"/>
        <w:ind w:right="0"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публикации - в течение одного месяца после получения всех материалов.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0" w:before="0" w:line="276" w:lineRule="auto"/>
        <w:ind w:right="0" w:firstLine="283.46456692913375"/>
        <w:jc w:val="both"/>
        <w:rPr>
          <w:sz w:val="24"/>
          <w:szCs w:val="24"/>
          <w:highlight w:val="cyan"/>
        </w:rPr>
      </w:pPr>
      <w:bookmarkStart w:colFirst="0" w:colLast="0" w:name="_8vaulnbm0ss7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Полнотекстовые рукописи глав (научных статей) должны быть оформлены в строгом соответствии с шаблонами,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доступными для скачивания по ссылке:</w:t>
      </w:r>
      <w:hyperlink r:id="rId6">
        <w:r w:rsidDel="00000000" w:rsidR="00000000" w:rsidRPr="00000000">
          <w:rPr>
            <w:color w:val="0000ee"/>
            <w:sz w:val="24"/>
            <w:szCs w:val="24"/>
            <w:highlight w:val="cyan"/>
            <w:u w:val="single"/>
            <w:rtl w:val="0"/>
          </w:rPr>
          <w:t xml:space="preserve">Шаблоны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0"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 конференции также могут подать материалы для публикации в </w:t>
      </w:r>
      <w:r w:rsidDel="00000000" w:rsidR="00000000" w:rsidRPr="00000000">
        <w:rPr>
          <w:b w:val="1"/>
          <w:sz w:val="24"/>
          <w:szCs w:val="24"/>
          <w:rtl w:val="0"/>
        </w:rPr>
        <w:t xml:space="preserve">журналах, входящих в базы Scopus и Web of Science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276" w:lineRule="auto"/>
        <w:ind w:right="0"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Заявку на такую публикацию можно отметить в </w:t>
      </w:r>
      <w:r w:rsidDel="00000000" w:rsidR="00000000" w:rsidRPr="00000000">
        <w:rPr>
          <w:b w:val="1"/>
          <w:sz w:val="24"/>
          <w:szCs w:val="24"/>
          <w:rtl w:val="0"/>
        </w:rPr>
        <w:t xml:space="preserve">форме регистрации</w:t>
      </w:r>
      <w:r w:rsidDel="00000000" w:rsidR="00000000" w:rsidRPr="00000000">
        <w:rPr>
          <w:sz w:val="24"/>
          <w:szCs w:val="24"/>
          <w:rtl w:val="0"/>
        </w:rPr>
        <w:t xml:space="preserve"> на конференцию.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0" w:before="0" w:line="276" w:lineRule="auto"/>
        <w:ind w:right="0" w:firstLine="283.46456692913375"/>
        <w:jc w:val="both"/>
        <w:rPr>
          <w:b w:val="1"/>
          <w:color w:val="000000"/>
          <w:sz w:val="26"/>
          <w:szCs w:val="26"/>
        </w:rPr>
      </w:pPr>
      <w:bookmarkStart w:colFirst="0" w:colLast="0" w:name="_s0d22msbmh7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0" w:before="0" w:line="276" w:lineRule="auto"/>
        <w:ind w:left="0" w:firstLine="0"/>
        <w:jc w:val="both"/>
        <w:rPr>
          <w:b w:val="1"/>
          <w:color w:val="000000"/>
          <w:sz w:val="26"/>
          <w:szCs w:val="26"/>
        </w:rPr>
      </w:pPr>
      <w:bookmarkStart w:colFirst="0" w:colLast="0" w:name="_lzb8vagkutno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Форматы участия: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с устным докладом (онлайн-презентация);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в постерной сессии (онлайн, без устной презентации);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в качестве слушателя (без публикации).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="276" w:lineRule="auto"/>
        <w:ind w:left="0" w:firstLine="0"/>
        <w:jc w:val="both"/>
        <w:rPr>
          <w:color w:val="000000"/>
          <w:sz w:val="24"/>
          <w:szCs w:val="24"/>
        </w:rPr>
      </w:pPr>
      <w:bookmarkStart w:colFirst="0" w:colLast="0" w:name="_gxzk0npqw3t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0" w:line="276" w:lineRule="auto"/>
        <w:ind w:left="0" w:firstLine="0"/>
        <w:jc w:val="both"/>
        <w:rPr>
          <w:color w:val="000000"/>
          <w:sz w:val="24"/>
          <w:szCs w:val="24"/>
        </w:rPr>
      </w:pPr>
      <w:bookmarkStart w:colFirst="0" w:colLast="0" w:name="_9oxszkorv80n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Всем участникам конференции будут направлены именные сертификаты об участии в электронном виде.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="276" w:lineRule="auto"/>
        <w:ind w:left="0" w:firstLine="0"/>
        <w:jc w:val="both"/>
        <w:rPr>
          <w:b w:val="1"/>
          <w:color w:val="000000"/>
          <w:sz w:val="26"/>
          <w:szCs w:val="26"/>
        </w:rPr>
      </w:pPr>
      <w:bookmarkStart w:colFirst="0" w:colLast="0" w:name="_48vuf97bxsx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0" w:before="0" w:line="276" w:lineRule="auto"/>
        <w:ind w:left="0" w:firstLine="0"/>
        <w:jc w:val="both"/>
        <w:rPr>
          <w:b w:val="1"/>
          <w:color w:val="000000"/>
          <w:sz w:val="26"/>
          <w:szCs w:val="26"/>
        </w:rPr>
      </w:pPr>
      <w:bookmarkStart w:colFirst="0" w:colLast="0" w:name="_4qu3ott97vkz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Важные даты: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Окончание регистрации:</w:t>
      </w:r>
      <w:r w:rsidDel="00000000" w:rsidR="00000000" w:rsidRPr="00000000">
        <w:rPr>
          <w:sz w:val="24"/>
          <w:szCs w:val="24"/>
          <w:rtl w:val="0"/>
        </w:rPr>
        <w:t xml:space="preserve"> 17 ноября 2025 г.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Срок подачи статей:</w:t>
      </w:r>
      <w:r w:rsidDel="00000000" w:rsidR="00000000" w:rsidRPr="00000000">
        <w:rPr>
          <w:sz w:val="24"/>
          <w:szCs w:val="24"/>
          <w:rtl w:val="0"/>
        </w:rPr>
        <w:t xml:space="preserve"> до 17 ноября 2025 г.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конференции:</w:t>
      </w:r>
      <w:r w:rsidDel="00000000" w:rsidR="00000000" w:rsidRPr="00000000">
        <w:rPr>
          <w:sz w:val="24"/>
          <w:szCs w:val="24"/>
          <w:rtl w:val="0"/>
        </w:rPr>
        <w:t xml:space="preserve"> 20 ноября 2025 г.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="276" w:lineRule="auto"/>
        <w:ind w:left="720" w:hanging="436.535433070866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Публикация сборника:</w:t>
      </w:r>
      <w:r w:rsidDel="00000000" w:rsidR="00000000" w:rsidRPr="00000000">
        <w:rPr>
          <w:sz w:val="24"/>
          <w:szCs w:val="24"/>
          <w:rtl w:val="0"/>
        </w:rPr>
        <w:t xml:space="preserve"> декабрь 2025 г.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0" w:before="0" w:line="276" w:lineRule="auto"/>
        <w:ind w:firstLine="283.46456692913375"/>
        <w:jc w:val="both"/>
        <w:rPr>
          <w:b w:val="1"/>
          <w:color w:val="000000"/>
          <w:sz w:val="26"/>
          <w:szCs w:val="26"/>
        </w:rPr>
      </w:pPr>
      <w:bookmarkStart w:colFirst="0" w:colLast="0" w:name="_2itc1udi63z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0" w:before="0" w:line="276" w:lineRule="auto"/>
        <w:ind w:left="0" w:firstLine="0"/>
        <w:jc w:val="both"/>
        <w:rPr>
          <w:b w:val="1"/>
          <w:color w:val="000000"/>
          <w:sz w:val="26"/>
          <w:szCs w:val="26"/>
        </w:rPr>
      </w:pPr>
      <w:bookmarkStart w:colFirst="0" w:colLast="0" w:name="_o0q9xitmyfo3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Регистрация и подача материалов:</w:t>
      </w:r>
    </w:p>
    <w:p w:rsidR="00000000" w:rsidDel="00000000" w:rsidP="00000000" w:rsidRDefault="00000000" w:rsidRPr="00000000" w14:paraId="0000002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конференции необходимо зарегистрироваться в специальной форме до истечения срока регистрации. Необходимо выбрать один из доступных форматов участия в конференции: </w:t>
      </w:r>
    </w:p>
    <w:p w:rsidR="00000000" w:rsidDel="00000000" w:rsidP="00000000" w:rsidRDefault="00000000" w:rsidRPr="00000000" w14:paraId="0000002D">
      <w:pPr>
        <w:spacing w:after="0" w:before="0" w:line="276" w:lineRule="auto"/>
        <w:ind w:left="0"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(1) участие с устным докладом и публикацией; </w:t>
      </w:r>
    </w:p>
    <w:p w:rsidR="00000000" w:rsidDel="00000000" w:rsidP="00000000" w:rsidRDefault="00000000" w:rsidRPr="00000000" w14:paraId="0000002E">
      <w:pPr>
        <w:spacing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(2) участие в постерной сессии с публикацией (без устной презентации); </w:t>
      </w:r>
    </w:p>
    <w:p w:rsidR="00000000" w:rsidDel="00000000" w:rsidP="00000000" w:rsidRDefault="00000000" w:rsidRPr="00000000" w14:paraId="0000002F">
      <w:pPr>
        <w:spacing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(3) участие в качестве слушателя (без презентации и публикации в материалах).</w:t>
      </w:r>
    </w:p>
    <w:p w:rsidR="00000000" w:rsidDel="00000000" w:rsidP="00000000" w:rsidRDefault="00000000" w:rsidRPr="00000000" w14:paraId="00000030">
      <w:pPr>
        <w:spacing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Регистрация осуществляется только через соответствующую форму.</w:t>
      </w:r>
    </w:p>
    <w:p w:rsidR="00000000" w:rsidDel="00000000" w:rsidP="00000000" w:rsidRDefault="00000000" w:rsidRPr="00000000" w14:paraId="00000031">
      <w:pPr>
        <w:spacing w:line="276" w:lineRule="auto"/>
        <w:ind w:firstLine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Также </w:t>
      </w:r>
      <w:r w:rsidDel="00000000" w:rsidR="00000000" w:rsidRPr="00000000">
        <w:rPr>
          <w:b w:val="1"/>
          <w:sz w:val="24"/>
          <w:szCs w:val="24"/>
          <w:rtl w:val="0"/>
        </w:rPr>
        <w:t xml:space="preserve">возможна регистрация с подачей рукописи научной статьи после проведения мероприятия в установленные сроки</w:t>
      </w:r>
      <w:r w:rsidDel="00000000" w:rsidR="00000000" w:rsidRPr="00000000">
        <w:rPr>
          <w:sz w:val="24"/>
          <w:szCs w:val="24"/>
          <w:rtl w:val="0"/>
        </w:rPr>
        <w:t xml:space="preserve">. Ожидается, что авторы статей смогут получить ценные рекомендации от экспертов и других участников конференции, которые могут быть использованы для внесения дополнений в текст рукописи научной статьи.</w:t>
      </w:r>
    </w:p>
    <w:p w:rsidR="00000000" w:rsidDel="00000000" w:rsidP="00000000" w:rsidRDefault="00000000" w:rsidRPr="00000000" w14:paraId="00000032">
      <w:pPr>
        <w:spacing w:line="276" w:lineRule="auto"/>
        <w:ind w:firstLine="283.46456692913375"/>
        <w:jc w:val="both"/>
        <w:rPr>
          <w:b w:val="1"/>
          <w:color w:val="0b4cb4"/>
          <w:sz w:val="24"/>
          <w:szCs w:val="24"/>
          <w:highlight w:val="cyan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Регистрация на мероприятие доступна по ссылке: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highlight w:val="cyan"/>
            <w:u w:val="single"/>
            <w:rtl w:val="0"/>
          </w:rPr>
          <w:t xml:space="preserve">https://forms.gle/cduhrKeoPAfRmUa46</w:t>
        </w:r>
      </w:hyperlink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color w:val="0b4cb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Регистрационный взнос:</w:t>
      </w:r>
    </w:p>
    <w:tbl>
      <w:tblPr>
        <w:tblStyle w:val="Table1"/>
        <w:tblW w:w="9495.0" w:type="dxa"/>
        <w:jc w:val="left"/>
        <w:tblLayout w:type="fixed"/>
        <w:tblLook w:val="0600"/>
      </w:tblPr>
      <w:tblGrid>
        <w:gridCol w:w="7035"/>
        <w:gridCol w:w="2460"/>
        <w:tblGridChange w:id="0">
          <w:tblGrid>
            <w:gridCol w:w="7035"/>
            <w:gridCol w:w="24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Формат участия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right="-1507.9133858267714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Стоимость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.925292968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Слушатель (без публикации)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right="-2358.30708661417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2 000 руб.</w:t>
            </w:r>
          </w:p>
        </w:tc>
      </w:tr>
      <w:tr>
        <w:trPr>
          <w:cantSplit w:val="0"/>
          <w:trHeight w:val="425.925292968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с публикацией в монографии Dela Press (для студентов, раздел «Исследования молодых ученых»)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5 000 руб.</w:t>
            </w:r>
          </w:p>
        </w:tc>
      </w:tr>
      <w:tr>
        <w:trPr>
          <w:cantSplit w:val="0"/>
          <w:trHeight w:val="425.925292968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Участие с публикацией в монографии Dela Press</w:t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(для аспирантов и преподавателей)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7 000 руб.</w:t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Реквизиты для оплаты высылаются после одобрения заявки.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</w:rPr>
      </w:pPr>
      <w:bookmarkStart w:colFirst="0" w:colLast="0" w:name="_3vqb54ra4gd8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Контакты оргкомитета:</w:t>
      </w:r>
    </w:p>
    <w:p w:rsidR="00000000" w:rsidDel="00000000" w:rsidP="00000000" w:rsidRDefault="00000000" w:rsidRPr="00000000" w14:paraId="00000040">
      <w:pPr>
        <w:spacing w:after="240" w:before="240" w:line="276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20conference@gmail.com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Мы будем рады видеть вас среди участников конференции и уверены, что она станет плодотворной площадкой для обмена знаниями, опытом и научными результатами!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NMAkeZ8Lyl-ZrWWon9GVWRKClx4b2gtr?usp=sharing" TargetMode="External"/><Relationship Id="rId7" Type="http://schemas.openxmlformats.org/officeDocument/2006/relationships/hyperlink" Target="https://forms.gle/cduhrKeoPAfRmUa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