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4F23BBBB" w:rsidR="00F94C61" w:rsidRPr="00EF778D" w:rsidRDefault="00BB5302" w:rsidP="00EF778D">
      <w:pPr>
        <w:pStyle w:val="a5"/>
        <w:jc w:val="center"/>
        <w:rPr>
          <w:rFonts w:ascii="Arial" w:hAnsi="Arial"/>
          <w:b/>
          <w:szCs w:val="28"/>
        </w:rPr>
      </w:pPr>
      <w:r w:rsidRPr="00BB5302">
        <w:rPr>
          <w:rFonts w:ascii="Arial" w:hAnsi="Arial"/>
          <w:b/>
          <w:szCs w:val="28"/>
        </w:rPr>
        <w:t xml:space="preserve">XXI 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BB5302">
        <w:rPr>
          <w:rFonts w:ascii="Arial" w:hAnsi="Arial"/>
          <w:b/>
          <w:szCs w:val="28"/>
        </w:rPr>
        <w:t xml:space="preserve">Научное знание </w:t>
      </w:r>
      <w:r>
        <w:rPr>
          <w:rFonts w:ascii="Arial" w:hAnsi="Arial"/>
          <w:b/>
          <w:szCs w:val="28"/>
        </w:rPr>
        <w:t>–</w:t>
      </w:r>
      <w:r w:rsidRPr="00BB5302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53D0350D" w:rsidR="00F94C61" w:rsidRDefault="00BB530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7</w:t>
      </w:r>
      <w:r w:rsidR="000A094D">
        <w:rPr>
          <w:b/>
          <w:szCs w:val="28"/>
        </w:rPr>
        <w:t xml:space="preserve"> </w:t>
      </w:r>
      <w:r w:rsidR="006135C9">
        <w:rPr>
          <w:b/>
          <w:szCs w:val="28"/>
        </w:rPr>
        <w:t>а</w:t>
      </w:r>
      <w:r>
        <w:rPr>
          <w:b/>
          <w:szCs w:val="28"/>
        </w:rPr>
        <w:t>преля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6570595B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</w:t>
      </w:r>
      <w:r w:rsidR="00BB5302">
        <w:rPr>
          <w:b/>
          <w:szCs w:val="28"/>
        </w:rPr>
        <w:t>9</w:t>
      </w:r>
      <w:r>
        <w:rPr>
          <w:b/>
          <w:szCs w:val="28"/>
        </w:rPr>
        <w:t>-2</w:t>
      </w:r>
      <w:r w:rsidR="00BB5302">
        <w:rPr>
          <w:b/>
          <w:szCs w:val="28"/>
        </w:rPr>
        <w:t>3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7DE37D1C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AD2C37" w:rsidRPr="00AD2C37">
        <w:rPr>
          <w:spacing w:val="-4"/>
          <w:sz w:val="24"/>
          <w:szCs w:val="24"/>
        </w:rPr>
        <w:t>XXI Международн</w:t>
      </w:r>
      <w:r w:rsidR="00AD2C37">
        <w:rPr>
          <w:spacing w:val="-4"/>
          <w:sz w:val="24"/>
          <w:szCs w:val="24"/>
        </w:rPr>
        <w:t>ом</w:t>
      </w:r>
      <w:r w:rsidR="00AD2C37" w:rsidRPr="00AD2C37">
        <w:rPr>
          <w:spacing w:val="-4"/>
          <w:sz w:val="24"/>
          <w:szCs w:val="24"/>
        </w:rPr>
        <w:t xml:space="preserve"> конкурс</w:t>
      </w:r>
      <w:r w:rsidR="00AD2C37">
        <w:rPr>
          <w:spacing w:val="-4"/>
          <w:sz w:val="24"/>
          <w:szCs w:val="24"/>
        </w:rPr>
        <w:t>е</w:t>
      </w:r>
      <w:r w:rsidR="00AD2C37" w:rsidRPr="00AD2C37">
        <w:rPr>
          <w:spacing w:val="-4"/>
          <w:sz w:val="24"/>
          <w:szCs w:val="24"/>
        </w:rPr>
        <w:t xml:space="preserve"> научно-исследовательских работ Научное знание - 2023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1E9514AA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C74EE1" w:rsidRPr="002877B3">
          <w:rPr>
            <w:rStyle w:val="a7"/>
            <w:spacing w:val="-4"/>
            <w:sz w:val="24"/>
            <w:szCs w:val="24"/>
          </w:rPr>
          <w:t>https://nto-prosvet.ru/scikonow23/</w:t>
        </w:r>
      </w:hyperlink>
      <w:r w:rsidR="00C74EE1" w:rsidRPr="00C74EE1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716D42" w:rsidRPr="000C582B">
        <w:rPr>
          <w:spacing w:val="-4"/>
          <w:sz w:val="24"/>
          <w:szCs w:val="24"/>
        </w:rPr>
        <w:t>информ</w:t>
      </w:r>
      <w:proofErr w:type="spellEnd"/>
      <w:r w:rsidR="00716D42" w:rsidRPr="000C582B">
        <w:rPr>
          <w:spacing w:val="-4"/>
          <w:sz w:val="24"/>
          <w:szCs w:val="24"/>
        </w:rPr>
        <w:t>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DFF33E4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AD2C37">
        <w:rPr>
          <w:b/>
          <w:spacing w:val="-4"/>
          <w:sz w:val="24"/>
          <w:szCs w:val="24"/>
        </w:rPr>
        <w:t>0</w:t>
      </w:r>
      <w:r w:rsidR="000E5740">
        <w:rPr>
          <w:b/>
          <w:spacing w:val="-4"/>
          <w:sz w:val="24"/>
          <w:szCs w:val="24"/>
        </w:rPr>
        <w:t>4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0E5740">
        <w:rPr>
          <w:b/>
          <w:spacing w:val="-4"/>
          <w:sz w:val="24"/>
          <w:szCs w:val="24"/>
        </w:rPr>
        <w:t>4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39BFAAEA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C74EE1" w:rsidRPr="002877B3">
          <w:rPr>
            <w:rStyle w:val="a7"/>
            <w:spacing w:val="-4"/>
            <w:sz w:val="24"/>
            <w:szCs w:val="24"/>
          </w:rPr>
          <w:t>https://nto-prosvet.ru/scikonow23/</w:t>
        </w:r>
      </w:hyperlink>
      <w:r w:rsidR="00C74EE1" w:rsidRPr="00C74EE1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D62026" w:rsidRPr="000C582B">
        <w:rPr>
          <w:spacing w:val="-4"/>
          <w:sz w:val="24"/>
          <w:szCs w:val="24"/>
        </w:rPr>
        <w:t>информ</w:t>
      </w:r>
      <w:proofErr w:type="spellEnd"/>
      <w:r w:rsidR="00D62026" w:rsidRPr="000C582B">
        <w:rPr>
          <w:spacing w:val="-4"/>
          <w:sz w:val="24"/>
          <w:szCs w:val="24"/>
        </w:rPr>
        <w:t>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708D46CB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AD2C37">
        <w:rPr>
          <w:b/>
          <w:spacing w:val="-4"/>
          <w:sz w:val="24"/>
          <w:szCs w:val="24"/>
        </w:rPr>
        <w:t>6 марта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AD2C37">
        <w:rPr>
          <w:b/>
          <w:spacing w:val="-4"/>
          <w:sz w:val="24"/>
          <w:szCs w:val="24"/>
        </w:rPr>
        <w:t>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32A410C0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AD2C37">
        <w:rPr>
          <w:b/>
          <w:spacing w:val="-4"/>
          <w:sz w:val="24"/>
          <w:szCs w:val="24"/>
        </w:rPr>
        <w:t>5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AD2C37">
        <w:rPr>
          <w:b/>
          <w:spacing w:val="-4"/>
          <w:sz w:val="24"/>
          <w:szCs w:val="24"/>
        </w:rPr>
        <w:t>6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35CF00E6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AD2C37">
        <w:rPr>
          <w:b/>
          <w:spacing w:val="-4"/>
          <w:sz w:val="24"/>
          <w:szCs w:val="24"/>
        </w:rPr>
        <w:t>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424EA5DC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AD2C37">
        <w:rPr>
          <w:b/>
          <w:spacing w:val="-4"/>
          <w:sz w:val="24"/>
          <w:szCs w:val="24"/>
        </w:rPr>
        <w:t>7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578B53B1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C74EE1" w:rsidRPr="002877B3">
          <w:rPr>
            <w:rStyle w:val="a7"/>
            <w:spacing w:val="-4"/>
            <w:sz w:val="24"/>
            <w:szCs w:val="24"/>
          </w:rPr>
          <w:t>https://nto-prosvet.ru/scikonow23/</w:t>
        </w:r>
      </w:hyperlink>
      <w:r w:rsidR="00C74EE1" w:rsidRPr="00C74EE1">
        <w:rPr>
          <w:spacing w:val="-4"/>
          <w:sz w:val="24"/>
          <w:szCs w:val="24"/>
        </w:rPr>
        <w:t xml:space="preserve"> 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20040B0E" w14:textId="1078917C" w:rsidR="004B39C9" w:rsidRDefault="004B39C9" w:rsidP="00DA40BA">
      <w:pPr>
        <w:pStyle w:val="a5"/>
        <w:jc w:val="both"/>
        <w:rPr>
          <w:spacing w:val="-4"/>
          <w:sz w:val="24"/>
          <w:szCs w:val="24"/>
        </w:rPr>
      </w:pPr>
    </w:p>
    <w:p w14:paraId="3C40B7B4" w14:textId="77777777" w:rsidR="004B39C9" w:rsidRPr="00C87FCA" w:rsidRDefault="004B39C9" w:rsidP="004B39C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14:paraId="19D44DEF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14:paraId="00BE7FA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14:paraId="2732E0A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14:paraId="65E099F1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денежных призов 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14:paraId="747E97E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14:paraId="3795E63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14:paraId="0CAC89B2" w14:textId="2AD19F39" w:rsid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призовой фонд составляет </w:t>
      </w:r>
      <w:r w:rsidR="007B1639" w:rsidRPr="007B1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55</w:t>
      </w:r>
      <w:r w:rsidRPr="0074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Денежный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 составляет 10 000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денежный приз в каждой из 5 номинаций по 10 000 рублей: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5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22B255D" w14:textId="22742087" w:rsidR="004B39C9" w:rsidRPr="00C73865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Фонд поощрительных денежных призов составля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Pr="00307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10 000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денежных призов по 10 000 рублей в каждой номинации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, но продемонстрир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овали достойный уровень научно-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Pr="00307004">
        <w:rPr>
          <w:rFonts w:ascii="Times New Roman" w:hAnsi="Times New Roman" w:cs="Times New Roman"/>
          <w:color w:val="000000" w:themeColor="text1"/>
          <w:sz w:val="24"/>
          <w:szCs w:val="24"/>
        </w:rPr>
        <w:t>500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каждой номинации (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номинанта на получение поощрительной денежной премии в размере 500 рублей в каждой номинации: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проводимого мероприятия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поощрения выдающихся участников конкурса.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14:paraId="5C45475C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Оргкомитет не распространяет конфиденциальную информацию о победителях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14:paraId="7C71FE96" w14:textId="5B9DEB6B" w:rsidR="004B39C9" w:rsidRP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с целью организационных расходов в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proofErr w:type="spellEnd"/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418658B5" w14:textId="7BF162E5" w:rsidR="00684F88" w:rsidRPr="00666343" w:rsidRDefault="00291664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48ACF576" w:rsidR="0090725D" w:rsidRPr="00E41BAC" w:rsidRDefault="004B39C9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КС1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4069E22A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Start"/>
            <w:r w:rsidR="0018595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53DB8DDB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EB335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Научное знание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</w:t>
            </w:r>
            <w:r w:rsidR="00F963DA">
              <w:rPr>
                <w:rFonts w:ascii="Times New Roman" w:eastAsia="Times New Roman" w:hAnsi="Times New Roman" w:cs="Times New Roman"/>
                <w:b/>
                <w:spacing w:val="-4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scikonow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scikonow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scikonow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7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395</cp:revision>
  <cp:lastPrinted>2022-12-01T11:37:00Z</cp:lastPrinted>
  <dcterms:created xsi:type="dcterms:W3CDTF">2014-01-05T18:51:00Z</dcterms:created>
  <dcterms:modified xsi:type="dcterms:W3CDTF">2023-03-05T10:19:00Z</dcterms:modified>
</cp:coreProperties>
</file>