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данного журнала индексируются в </w:t>
      </w:r>
      <w:proofErr w:type="spellStart"/>
      <w:r w:rsidRPr="00035104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Pr="006B64DE"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3C74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proofErr w:type="spellStart"/>
      <w:r w:rsidR="006B64DE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eLibrary</w:t>
      </w:r>
      <w:proofErr w:type="spellEnd"/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) и в </w:t>
      </w:r>
      <w:proofErr w:type="spellStart"/>
      <w:r w:rsidR="006B64DE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Goggle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Scholar</w:t>
      </w:r>
      <w:r w:rsidR="002251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251D1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Cyber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proofErr w:type="spellStart"/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Leninka</w:t>
      </w:r>
      <w:proofErr w:type="spellEnd"/>
      <w:r w:rsidR="006B64DE" w:rsidRPr="006B64D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2D7D2F">
        <w:rPr>
          <w:rFonts w:ascii="Times New Roman" w:hAnsi="Times New Roman" w:cs="Times New Roman"/>
          <w:spacing w:val="-4"/>
          <w:sz w:val="24"/>
          <w:szCs w:val="24"/>
        </w:rPr>
        <w:t xml:space="preserve"> с января 2015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>20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Pr="00DE5A62">
        <w:rPr>
          <w:b/>
          <w:spacing w:val="-4"/>
          <w:sz w:val="24"/>
          <w:szCs w:val="24"/>
        </w:rPr>
        <w:t>20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E61E88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Редколлегия: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945A36">
        <w:rPr>
          <w:spacing w:val="-4"/>
          <w:sz w:val="24"/>
          <w:szCs w:val="24"/>
        </w:rPr>
        <w:t>ерситета им. Х.Абовяна, Ереван.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945A36">
        <w:rPr>
          <w:spacing w:val="-4"/>
          <w:sz w:val="24"/>
          <w:szCs w:val="24"/>
        </w:rPr>
        <w:t xml:space="preserve">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945A36">
        <w:rPr>
          <w:spacing w:val="-4"/>
          <w:sz w:val="24"/>
          <w:szCs w:val="24"/>
        </w:rPr>
        <w:t>ет архитектуры и строительства.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F61C69" w:rsidRDefault="00F61C69" w:rsidP="00E61E88">
      <w:pPr>
        <w:pStyle w:val="a5"/>
        <w:jc w:val="both"/>
        <w:rPr>
          <w:spacing w:val="-4"/>
          <w:sz w:val="24"/>
          <w:szCs w:val="24"/>
        </w:rPr>
      </w:pPr>
      <w:r w:rsidRPr="00F61C69"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6C6A7B" w:rsidRPr="00AD5B95" w:rsidRDefault="006C6A7B" w:rsidP="00E61E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251D1" w:rsidRPr="005F0FFC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9D775A" w:rsidRDefault="00071CF6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DE5A62" w:rsidRPr="00035104" w:rsidRDefault="00DE5A62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03510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DE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62" w:rsidRDefault="00DE5A62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B9" w:rsidRDefault="00096BDF" w:rsidP="006C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6C6A7B" w:rsidRPr="00DE5A62" w:rsidRDefault="006C6A7B" w:rsidP="006C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20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Pr="003E63B9">
        <w:rPr>
          <w:b/>
          <w:spacing w:val="-4"/>
          <w:sz w:val="24"/>
          <w:szCs w:val="24"/>
        </w:rPr>
        <w:t>75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12</w:t>
      </w:r>
      <w:r w:rsidR="00C67626">
        <w:rPr>
          <w:b/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23F8" w:rsidRDefault="002023F8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6B64DE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0725E" w:rsidRDefault="00802BFC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0725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3C68C5" w:rsidRDefault="005C7D7F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F317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подачи заявки на размещение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материалов на сайтах</w:t>
      </w:r>
      <w:r w:rsidR="006B64DE" w:rsidRP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E66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электронных 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библиотек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D4C5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</w:t>
      </w:r>
      <w:r w:rsidR="001365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LIBRARY</w:t>
      </w:r>
      <w:proofErr w:type="spellEnd"/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Cyber</w:t>
      </w:r>
      <w:r w:rsidR="006B64DE" w:rsidRP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proofErr w:type="spellStart"/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Leninka</w:t>
      </w:r>
      <w:proofErr w:type="spellEnd"/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января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 февраля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марта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апреля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июня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июля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августа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сентября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октября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ноября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декабря 2015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5104"/>
    <w:rsid w:val="0004559B"/>
    <w:rsid w:val="00046D72"/>
    <w:rsid w:val="00053ADD"/>
    <w:rsid w:val="000562BA"/>
    <w:rsid w:val="0006740E"/>
    <w:rsid w:val="00071CF6"/>
    <w:rsid w:val="0009618B"/>
    <w:rsid w:val="00096BDF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4A30"/>
    <w:rsid w:val="002A33C1"/>
    <w:rsid w:val="002B406F"/>
    <w:rsid w:val="002D1D62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46D35"/>
    <w:rsid w:val="00561A50"/>
    <w:rsid w:val="00564CAE"/>
    <w:rsid w:val="00573317"/>
    <w:rsid w:val="00584E89"/>
    <w:rsid w:val="005B4A66"/>
    <w:rsid w:val="005C7D7F"/>
    <w:rsid w:val="005E5740"/>
    <w:rsid w:val="005F0FFC"/>
    <w:rsid w:val="005F1C33"/>
    <w:rsid w:val="005F677C"/>
    <w:rsid w:val="006120FF"/>
    <w:rsid w:val="00636F2E"/>
    <w:rsid w:val="006473C9"/>
    <w:rsid w:val="006829C0"/>
    <w:rsid w:val="00683C74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64C"/>
    <w:rsid w:val="006E44C7"/>
    <w:rsid w:val="006F66D5"/>
    <w:rsid w:val="007010FE"/>
    <w:rsid w:val="00714D63"/>
    <w:rsid w:val="007162C5"/>
    <w:rsid w:val="007367EB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B1450"/>
    <w:rsid w:val="00AB1BD3"/>
    <w:rsid w:val="00AB54A2"/>
    <w:rsid w:val="00AB593C"/>
    <w:rsid w:val="00AB5D50"/>
    <w:rsid w:val="00AD4526"/>
    <w:rsid w:val="00AE66E8"/>
    <w:rsid w:val="00AF5A98"/>
    <w:rsid w:val="00B22574"/>
    <w:rsid w:val="00B24A4F"/>
    <w:rsid w:val="00B342D3"/>
    <w:rsid w:val="00B52CA4"/>
    <w:rsid w:val="00B5501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5B96"/>
    <w:rsid w:val="00DB51C9"/>
    <w:rsid w:val="00DE0DC6"/>
    <w:rsid w:val="00DE5A62"/>
    <w:rsid w:val="00DE5DAC"/>
    <w:rsid w:val="00DF74AE"/>
    <w:rsid w:val="00E01D89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2014-12-17T14:49:00Z</dcterms:created>
  <dcterms:modified xsi:type="dcterms:W3CDTF">2015-10-02T20:51:00Z</dcterms:modified>
</cp:coreProperties>
</file>