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Pr="002B3837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  <w:r w:rsidR="002B3837" w:rsidRPr="002B3837">
        <w:rPr>
          <w:rFonts w:ascii="Arial" w:hAnsi="Arial"/>
          <w:b/>
          <w:szCs w:val="28"/>
        </w:rPr>
        <w:br/>
      </w:r>
      <w:r w:rsidR="002B3837">
        <w:rPr>
          <w:rFonts w:ascii="Arial" w:hAnsi="Arial"/>
          <w:b/>
          <w:szCs w:val="28"/>
        </w:rPr>
        <w:t>НАУЧНО-ИССЛЕДОВАТЕЛЬСКИХ РАБОТ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C31639">
        <w:rPr>
          <w:rFonts w:ascii="Arial" w:hAnsi="Arial"/>
          <w:b/>
          <w:szCs w:val="28"/>
        </w:rPr>
        <w:t>ПРОЗРЕНИЕ НАУКИ</w:t>
      </w:r>
      <w:r w:rsidR="003F6251">
        <w:rPr>
          <w:rFonts w:ascii="Arial" w:hAnsi="Arial"/>
          <w:b/>
          <w:szCs w:val="28"/>
        </w:rPr>
        <w:t xml:space="preserve"> - </w:t>
      </w:r>
      <w:r w:rsidR="0048680B">
        <w:rPr>
          <w:rFonts w:ascii="Arial" w:hAnsi="Arial"/>
          <w:b/>
          <w:szCs w:val="28"/>
        </w:rPr>
        <w:t>201</w:t>
      </w:r>
      <w:r w:rsidR="00E373C3">
        <w:rPr>
          <w:rFonts w:ascii="Arial" w:hAnsi="Arial"/>
          <w:b/>
          <w:szCs w:val="28"/>
        </w:rPr>
        <w:t>8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C274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C31639">
        <w:rPr>
          <w:b/>
          <w:szCs w:val="28"/>
        </w:rPr>
        <w:t>июня</w:t>
      </w:r>
      <w:r w:rsidR="00AF3A23">
        <w:rPr>
          <w:b/>
          <w:szCs w:val="28"/>
        </w:rPr>
        <w:t xml:space="preserve"> </w:t>
      </w:r>
      <w:r w:rsidR="00E373C3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C31639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E373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DC274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 xml:space="preserve"> </w:t>
      </w:r>
      <w:r w:rsidR="00C31639">
        <w:rPr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E373C3">
        <w:rPr>
          <w:i/>
          <w:spacing w:val="-4"/>
          <w:sz w:val="24"/>
          <w:szCs w:val="24"/>
        </w:rPr>
        <w:t>особый</w:t>
      </w:r>
      <w:proofErr w:type="gramEnd"/>
      <w:r w:rsidR="00E373C3">
        <w:rPr>
          <w:i/>
          <w:spacing w:val="-4"/>
          <w:sz w:val="24"/>
          <w:szCs w:val="24"/>
        </w:rPr>
        <w:t xml:space="preserve">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F050B" w:rsidRDefault="002F050B" w:rsidP="0029326E">
      <w:pPr>
        <w:pStyle w:val="a5"/>
        <w:rPr>
          <w:spacing w:val="-4"/>
          <w:sz w:val="24"/>
          <w:szCs w:val="24"/>
        </w:rPr>
      </w:pPr>
    </w:p>
    <w:p w:rsidR="0003619B" w:rsidRPr="002B3837" w:rsidRDefault="0003619B" w:rsidP="0029326E">
      <w:pPr>
        <w:pStyle w:val="a5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- 700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780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700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1220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700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11DD7" w:rsidRDefault="00A11DD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73C3" w:rsidRPr="00EC418D" w:rsidRDefault="00E373C3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C31639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C31639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Прозрение         Науки</w:t>
            </w:r>
            <w:r w:rsidR="005A2B3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– </w:t>
            </w:r>
            <w:r w:rsidR="00E373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2018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C3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31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Прозрение Науки 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31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373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B245C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B245C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B245C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B245C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B245C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245CD" w:rsidRDefault="00B245CD" w:rsidP="00B245CD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B245CD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64AF" w:rsidRDefault="00B245CD" w:rsidP="00B245C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C64A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7608F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137</cp:revision>
  <dcterms:created xsi:type="dcterms:W3CDTF">2014-01-05T18:51:00Z</dcterms:created>
  <dcterms:modified xsi:type="dcterms:W3CDTF">2018-05-10T06:36:00Z</dcterms:modified>
</cp:coreProperties>
</file>